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1EB" w:rsidRPr="007531EB" w:rsidRDefault="007531EB" w:rsidP="007531EB">
      <w:pPr>
        <w:rPr>
          <w:b/>
          <w:color w:val="1F497D"/>
          <w:highlight w:val="yellow"/>
        </w:rPr>
      </w:pPr>
      <w:r w:rsidRPr="007531EB">
        <w:rPr>
          <w:b/>
          <w:color w:val="1F497D"/>
          <w:highlight w:val="yellow"/>
        </w:rPr>
        <w:t>AUM Mathematics Colloquium</w:t>
      </w:r>
    </w:p>
    <w:p w:rsidR="007531EB" w:rsidRDefault="007531EB" w:rsidP="007531EB">
      <w:pPr>
        <w:rPr>
          <w:color w:val="1F497D"/>
          <w:highlight w:val="yellow"/>
        </w:rPr>
      </w:pPr>
      <w:r>
        <w:rPr>
          <w:color w:val="1F497D"/>
          <w:highlight w:val="yellow"/>
        </w:rPr>
        <w:t>Time: 1:00pm, September 29, 2017</w:t>
      </w:r>
    </w:p>
    <w:p w:rsidR="007531EB" w:rsidRDefault="007531EB" w:rsidP="007531EB">
      <w:pPr>
        <w:rPr>
          <w:color w:val="1F497D"/>
          <w:highlight w:val="yellow"/>
        </w:rPr>
      </w:pPr>
      <w:r>
        <w:rPr>
          <w:color w:val="1F497D"/>
          <w:highlight w:val="yellow"/>
        </w:rPr>
        <w:t xml:space="preserve">Place: </w:t>
      </w:r>
      <w:proofErr w:type="spellStart"/>
      <w:r>
        <w:rPr>
          <w:color w:val="1F497D"/>
          <w:highlight w:val="yellow"/>
        </w:rPr>
        <w:t>Goodwyn</w:t>
      </w:r>
      <w:proofErr w:type="spellEnd"/>
      <w:r>
        <w:rPr>
          <w:color w:val="1F497D"/>
          <w:highlight w:val="yellow"/>
        </w:rPr>
        <w:t xml:space="preserve"> Hall 2017</w:t>
      </w:r>
    </w:p>
    <w:p w:rsidR="007531EB" w:rsidRDefault="007531EB" w:rsidP="007531EB">
      <w:pPr>
        <w:rPr>
          <w:color w:val="1F497D"/>
          <w:highlight w:val="yellow"/>
        </w:rPr>
      </w:pPr>
      <w:r>
        <w:rPr>
          <w:color w:val="1F497D"/>
          <w:highlight w:val="yellow"/>
        </w:rPr>
        <w:t>Speaker: Dr. Mehmet Sahinoglu</w:t>
      </w:r>
    </w:p>
    <w:p w:rsidR="007531EB" w:rsidRDefault="007531EB" w:rsidP="007531EB">
      <w:pPr>
        <w:rPr>
          <w:color w:val="1F497D"/>
        </w:rPr>
      </w:pPr>
      <w:r>
        <w:rPr>
          <w:color w:val="1F497D"/>
          <w:highlight w:val="yellow"/>
        </w:rPr>
        <w:t>Title</w:t>
      </w:r>
      <w:r>
        <w:rPr>
          <w:color w:val="1F497D"/>
        </w:rPr>
        <w:t>: “Sahinoglu-Libby (SL) Probability Density Function”</w:t>
      </w:r>
    </w:p>
    <w:p w:rsidR="007430E4" w:rsidRPr="007430E4" w:rsidRDefault="007430E4" w:rsidP="007430E4">
      <w:pPr>
        <w:rPr>
          <w:color w:val="1F497D"/>
        </w:rPr>
      </w:pPr>
      <w:r w:rsidRPr="007430E4">
        <w:rPr>
          <w:color w:val="1F497D"/>
        </w:rPr>
        <w:t>There is also a Math Club and Engineering Club social gathering starting at 12:30pm. \\</w:t>
      </w:r>
    </w:p>
    <w:p w:rsidR="007531EB" w:rsidRDefault="007430E4" w:rsidP="007430E4">
      <w:pPr>
        <w:rPr>
          <w:color w:val="1F497D"/>
        </w:rPr>
      </w:pPr>
      <w:r w:rsidRPr="007430E4">
        <w:rPr>
          <w:color w:val="1F497D"/>
        </w:rPr>
        <w:t>****Refreshments will be served at 12:30pm****</w:t>
      </w:r>
      <w:bookmarkStart w:id="0" w:name="_GoBack"/>
      <w:bookmarkEnd w:id="0"/>
    </w:p>
    <w:p w:rsidR="007531EB" w:rsidRDefault="007531EB" w:rsidP="007531EB">
      <w:pPr>
        <w:rPr>
          <w:color w:val="1F497D"/>
        </w:rPr>
      </w:pPr>
      <w:r>
        <w:rPr>
          <w:color w:val="1F497D"/>
          <w:highlight w:val="yellow"/>
        </w:rPr>
        <w:t>Subtitle</w:t>
      </w:r>
      <w:r>
        <w:rPr>
          <w:color w:val="1F497D"/>
        </w:rPr>
        <w:t>: Applications to Repairable Cyber-Physical Systems Availability Risk Estimation</w:t>
      </w:r>
    </w:p>
    <w:p w:rsidR="007531EB" w:rsidRDefault="007531EB" w:rsidP="007531EB">
      <w:pPr>
        <w:rPr>
          <w:color w:val="1F497D"/>
        </w:rPr>
      </w:pPr>
    </w:p>
    <w:p w:rsidR="007531EB" w:rsidRDefault="007531EB" w:rsidP="007531EB">
      <w:pPr>
        <w:rPr>
          <w:color w:val="1F497D"/>
        </w:rPr>
      </w:pPr>
      <w:r>
        <w:rPr>
          <w:color w:val="1F497D"/>
          <w:highlight w:val="yellow"/>
        </w:rPr>
        <w:t>Abstract</w:t>
      </w:r>
      <w:r>
        <w:rPr>
          <w:color w:val="1F497D"/>
        </w:rPr>
        <w:t>: (350 words)</w:t>
      </w:r>
    </w:p>
    <w:p w:rsidR="007531EB" w:rsidRDefault="007531EB" w:rsidP="007531EB">
      <w:pPr>
        <w:spacing w:line="360" w:lineRule="auto"/>
        <w:rPr>
          <w:i/>
          <w:iCs/>
        </w:rPr>
      </w:pPr>
      <w:r>
        <w:rPr>
          <w:i/>
          <w:iCs/>
        </w:rPr>
        <w:t xml:space="preserve">With the advances in pervasive computing and wireless networks, quantitative measurement of component and network availability has become a challenging task.  It is widely recognized that the forced outage ratio (FOR) of an imbedded repairable cyber-physical hardware component is defined as “the failure rate divided by the sum of the failure and repair rates”, or FOR is better known as the non-operating time divided by the total exposure time. However, it is also well documented that FOR cannot be a constant but a random variable.  </w:t>
      </w:r>
      <w:r>
        <w:t xml:space="preserve">The probability density function of FOR= Q = 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517525" cy="160655"/>
            <wp:effectExtent l="0" t="0" r="0" b="0"/>
            <wp:docPr id="21" name="Picture 21" descr="cid:image031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31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where </w:t>
      </w:r>
      <w:r>
        <w:rPr>
          <w:rFonts w:ascii="Times New Roman" w:hAnsi="Times New Roman" w:cs="Times New Roman"/>
          <w:noProof/>
          <w:position w:val="-6"/>
          <w:sz w:val="24"/>
          <w:szCs w:val="24"/>
          <w:lang w:eastAsia="zh-CN"/>
        </w:rPr>
        <w:drawing>
          <wp:inline distT="0" distB="0" distL="0" distR="0">
            <wp:extent cx="115570" cy="135890"/>
            <wp:effectExtent l="0" t="0" r="0" b="0"/>
            <wp:docPr id="20" name="Picture 20" descr="cid:image032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32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3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is the failure rate (the number of failures/unit time) and 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115570" cy="130810"/>
            <wp:effectExtent l="0" t="0" r="0" b="2540"/>
            <wp:docPr id="19" name="Picture 19" descr="cid:image033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33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is the repair rate (number of repairs/unit time), the ratio of </w:t>
      </w:r>
      <w:r>
        <w:rPr>
          <w:rFonts w:ascii="Times New Roman" w:hAnsi="Times New Roman" w:cs="Times New Roman"/>
          <w:noProof/>
          <w:position w:val="-6"/>
          <w:sz w:val="24"/>
          <w:szCs w:val="24"/>
          <w:lang w:eastAsia="zh-CN"/>
        </w:rPr>
        <w:drawing>
          <wp:inline distT="0" distB="0" distL="0" distR="0">
            <wp:extent cx="115570" cy="145415"/>
            <wp:effectExtent l="0" t="0" r="0" b="6985"/>
            <wp:docPr id="18" name="Picture 18" descr="cid:image034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34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~ prior Gamma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396875" cy="160655"/>
            <wp:effectExtent l="0" t="0" r="3175" b="0"/>
            <wp:docPr id="17" name="Picture 17" descr="cid:image035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35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to the sum of </w:t>
      </w:r>
      <w:r>
        <w:rPr>
          <w:rFonts w:ascii="Times New Roman" w:hAnsi="Times New Roman" w:cs="Times New Roman"/>
          <w:noProof/>
          <w:position w:val="-6"/>
          <w:sz w:val="24"/>
          <w:szCs w:val="24"/>
          <w:lang w:eastAsia="zh-CN"/>
        </w:rPr>
        <w:drawing>
          <wp:inline distT="0" distB="0" distL="0" distR="0">
            <wp:extent cx="115570" cy="145415"/>
            <wp:effectExtent l="0" t="0" r="0" b="6985"/>
            <wp:docPr id="16" name="Picture 16" descr="cid:image034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34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~ prior Gamma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396875" cy="160655"/>
            <wp:effectExtent l="0" t="0" r="3175" b="0"/>
            <wp:docPr id="15" name="Picture 15" descr="cid:image035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35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and 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115570" cy="130810"/>
            <wp:effectExtent l="0" t="0" r="0" b="2540"/>
            <wp:docPr id="14" name="Picture 14" descr="cid:image033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33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~ prior </w:t>
      </w:r>
      <w:proofErr w:type="gramStart"/>
      <w:r>
        <w:t>Gamma(</w:t>
      </w:r>
      <w:proofErr w:type="gramEnd"/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311785" cy="160655"/>
            <wp:effectExtent l="0" t="0" r="0" b="0"/>
            <wp:docPr id="13" name="Picture 13" descr="cid:image036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id:image036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),  </w:t>
      </w:r>
      <w:r>
        <w:rPr>
          <w:rFonts w:ascii="Times New Roman" w:hAnsi="Times New Roman" w:cs="Times New Roman"/>
          <w:noProof/>
          <w:position w:val="-6"/>
          <w:sz w:val="24"/>
          <w:szCs w:val="24"/>
          <w:lang w:eastAsia="zh-CN"/>
        </w:rPr>
        <w:drawing>
          <wp:inline distT="0" distB="0" distL="0" distR="0">
            <wp:extent cx="120650" cy="115570"/>
            <wp:effectExtent l="0" t="0" r="0" b="0"/>
            <wp:docPr id="12" name="Picture 12" descr="cid:image037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id:image037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 xml:space="preserve">1 </w:t>
      </w:r>
      <w:r>
        <w:t xml:space="preserve">≠ </w:t>
      </w:r>
      <w:r>
        <w:rPr>
          <w:rFonts w:ascii="Times New Roman" w:hAnsi="Times New Roman" w:cs="Times New Roman"/>
          <w:noProof/>
          <w:position w:val="-6"/>
          <w:sz w:val="24"/>
          <w:szCs w:val="24"/>
          <w:lang w:eastAsia="zh-CN"/>
        </w:rPr>
        <w:drawing>
          <wp:inline distT="0" distB="0" distL="0" distR="0">
            <wp:extent cx="120650" cy="115570"/>
            <wp:effectExtent l="0" t="0" r="0" b="0"/>
            <wp:docPr id="11" name="Picture 11" descr="cid:image037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image037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>2</w:t>
      </w:r>
      <w:r>
        <w:t xml:space="preserve">, 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130810" cy="160655"/>
            <wp:effectExtent l="0" t="0" r="2540" b="0"/>
            <wp:docPr id="10" name="Picture 10" descr="cid:image038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id:image038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 xml:space="preserve">1 </w:t>
      </w:r>
      <w:r>
        <w:t xml:space="preserve">≠ 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130810" cy="160655"/>
            <wp:effectExtent l="0" t="0" r="2540" b="0"/>
            <wp:docPr id="9" name="Picture 9" descr="cid:image038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id:image038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 xml:space="preserve">2, </w:t>
      </w:r>
      <w:r>
        <w:t xml:space="preserve"> was originally documented by Sahinoglu and Libby in their respective published Ph.D. dissertations (1981).  See equation (1). </w:t>
      </w:r>
      <w:r>
        <w:rPr>
          <w:i/>
          <w:iCs/>
        </w:rPr>
        <w:t xml:space="preserve">The SL model is shown to default to that of a standard two-parameter beta </w:t>
      </w:r>
      <w:proofErr w:type="spellStart"/>
      <w:r>
        <w:rPr>
          <w:i/>
          <w:iCs/>
        </w:rPr>
        <w:t>p.d.f</w:t>
      </w:r>
      <w:proofErr w:type="spellEnd"/>
      <w:r>
        <w:rPr>
          <w:i/>
          <w:iCs/>
        </w:rPr>
        <w:t xml:space="preserve">. when the shape parameters are identical. Empirical Bayesian Decision theoretic solutions are sought to compute small-sample Bayesian estimators by using informative and </w:t>
      </w:r>
      <w:proofErr w:type="spellStart"/>
      <w:r>
        <w:rPr>
          <w:i/>
          <w:iCs/>
        </w:rPr>
        <w:t>noninformative</w:t>
      </w:r>
      <w:proofErr w:type="spellEnd"/>
      <w:r>
        <w:rPr>
          <w:i/>
          <w:iCs/>
        </w:rPr>
        <w:t xml:space="preserve"> priors for the failure and repair rates with respect to three definitions of loss functions. These estimators for component availability are then propagated to calculate the network‘s expected source(s)-</w:t>
      </w:r>
      <w:proofErr w:type="gramStart"/>
      <w:r>
        <w:rPr>
          <w:i/>
          <w:iCs/>
        </w:rPr>
        <w:t>target(</w:t>
      </w:r>
      <w:proofErr w:type="gramEnd"/>
      <w:r>
        <w:rPr>
          <w:i/>
          <w:iCs/>
        </w:rPr>
        <w:t>t) availability for simple or complex networks. The method proposed is superior to estimating availability by simply dividing a given uptime by exposure time. Examples show SL’s superiority for time-critical, high-assurance systems such as in medical or space-related procedures to avoid over- or underestimation of availability if and when insufficient data exist. The implementation of the SL to Cyber-physical systems’ availability with repairable hardware components is well justified.</w:t>
      </w:r>
    </w:p>
    <w:p w:rsidR="007531EB" w:rsidRDefault="007531EB" w:rsidP="007531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i/>
          <w:iCs/>
        </w:rPr>
        <w:t>g</w:t>
      </w:r>
      <w:r>
        <w:rPr>
          <w:i/>
          <w:iCs/>
          <w:vertAlign w:val="subscript"/>
        </w:rPr>
        <w:t>Q</w:t>
      </w:r>
      <w:proofErr w:type="spellEnd"/>
      <w:r>
        <w:t>(</w:t>
      </w:r>
      <w:proofErr w:type="gramEnd"/>
      <w:r>
        <w:rPr>
          <w:i/>
          <w:iCs/>
        </w:rPr>
        <w:t>q</w:t>
      </w:r>
      <w:r>
        <w:t xml:space="preserve">) = </w:t>
      </w:r>
      <w:r>
        <w:rPr>
          <w:rFonts w:ascii="Times New Roman" w:hAnsi="Times New Roman" w:cs="Times New Roman"/>
          <w:noProof/>
          <w:position w:val="-26"/>
          <w:sz w:val="24"/>
          <w:szCs w:val="24"/>
          <w:lang w:eastAsia="zh-CN"/>
        </w:rPr>
        <w:drawing>
          <wp:inline distT="0" distB="0" distL="0" distR="0">
            <wp:extent cx="884555" cy="336550"/>
            <wp:effectExtent l="0" t="0" r="0" b="6350"/>
            <wp:docPr id="8" name="Picture 8" descr="cid:image039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id:image039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position w:val="-30"/>
          <w:sz w:val="24"/>
          <w:szCs w:val="24"/>
          <w:lang w:eastAsia="zh-CN"/>
        </w:rPr>
        <w:drawing>
          <wp:inline distT="0" distB="0" distL="0" distR="0">
            <wp:extent cx="1929130" cy="367030"/>
            <wp:effectExtent l="0" t="0" r="0" b="0"/>
            <wp:docPr id="7" name="Picture 7" descr="cid:image040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id:image040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 (1), where:</w:t>
      </w:r>
    </w:p>
    <w:p w:rsidR="007531EB" w:rsidRDefault="007531EB" w:rsidP="007531EB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i/>
          <w:iCs/>
        </w:rPr>
        <w:t>a</w:t>
      </w:r>
      <w:proofErr w:type="gramEnd"/>
      <w:r>
        <w:t>                 number of occurrences of operative (up) times sampled</w:t>
      </w:r>
    </w:p>
    <w:p w:rsidR="007531EB" w:rsidRDefault="007531EB" w:rsidP="007531EB">
      <w:pPr>
        <w:spacing w:line="360" w:lineRule="auto"/>
        <w:ind w:left="360" w:hanging="360"/>
      </w:pPr>
      <w:proofErr w:type="spellStart"/>
      <w:proofErr w:type="gramStart"/>
      <w:r>
        <w:rPr>
          <w:i/>
          <w:iCs/>
        </w:rPr>
        <w:t>x</w:t>
      </w:r>
      <w:r>
        <w:rPr>
          <w:i/>
          <w:iCs/>
          <w:vertAlign w:val="subscript"/>
        </w:rPr>
        <w:t>T</w:t>
      </w:r>
      <w:proofErr w:type="spellEnd"/>
      <w:proofErr w:type="gramEnd"/>
      <w:r>
        <w:t>                total sampled up time for a of occurrences</w:t>
      </w:r>
    </w:p>
    <w:p w:rsidR="007531EB" w:rsidRDefault="007531EB" w:rsidP="007531EB">
      <w:pPr>
        <w:spacing w:line="360" w:lineRule="auto"/>
        <w:ind w:left="360" w:hanging="360"/>
      </w:pPr>
      <w:proofErr w:type="gramStart"/>
      <w:r>
        <w:rPr>
          <w:i/>
          <w:iCs/>
        </w:rPr>
        <w:t>b</w:t>
      </w:r>
      <w:proofErr w:type="gramEnd"/>
      <w:r>
        <w:t>                 number of occurrences of debugging (down) times sampled</w:t>
      </w:r>
    </w:p>
    <w:p w:rsidR="007531EB" w:rsidRDefault="007531EB" w:rsidP="007531EB">
      <w:pPr>
        <w:spacing w:line="360" w:lineRule="auto"/>
        <w:ind w:left="360" w:hanging="360"/>
      </w:pPr>
      <w:proofErr w:type="spellStart"/>
      <w:proofErr w:type="gramStart"/>
      <w:r>
        <w:rPr>
          <w:i/>
          <w:iCs/>
        </w:rPr>
        <w:t>y</w:t>
      </w:r>
      <w:r>
        <w:rPr>
          <w:i/>
          <w:iCs/>
          <w:vertAlign w:val="subscript"/>
        </w:rPr>
        <w:t>T</w:t>
      </w:r>
      <w:proofErr w:type="spellEnd"/>
      <w:proofErr w:type="gramEnd"/>
      <w:r>
        <w:t>               total sampled debugging (down) times for b of occurrences of debugging activity</w:t>
      </w:r>
    </w:p>
    <w:p w:rsidR="007531EB" w:rsidRDefault="007531EB" w:rsidP="007531EB">
      <w:pPr>
        <w:spacing w:line="360" w:lineRule="auto"/>
        <w:ind w:left="360" w:hanging="360"/>
      </w:pPr>
      <w:proofErr w:type="gramStart"/>
      <w:r>
        <w:rPr>
          <w:i/>
          <w:iCs/>
        </w:rPr>
        <w:lastRenderedPageBreak/>
        <w:t>c</w:t>
      </w:r>
      <w:proofErr w:type="gramEnd"/>
      <w:r>
        <w:t xml:space="preserve">                  shape parameter of gamma prior for component failure rate </w:t>
      </w:r>
      <w:r>
        <w:rPr>
          <w:rFonts w:ascii="Times New Roman" w:hAnsi="Times New Roman" w:cs="Times New Roman"/>
          <w:noProof/>
          <w:position w:val="-6"/>
          <w:sz w:val="24"/>
          <w:szCs w:val="24"/>
          <w:lang w:eastAsia="zh-CN"/>
        </w:rPr>
        <w:drawing>
          <wp:inline distT="0" distB="0" distL="0" distR="0">
            <wp:extent cx="115570" cy="145415"/>
            <wp:effectExtent l="0" t="0" r="0" b="6985"/>
            <wp:docPr id="6" name="Picture 6" descr="cid:image034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id:image034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7531EB" w:rsidRDefault="007531EB" w:rsidP="007531EB">
      <w:pPr>
        <w:spacing w:line="360" w:lineRule="auto"/>
        <w:ind w:left="360" w:hanging="360"/>
      </w:pP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100330" cy="175895"/>
            <wp:effectExtent l="0" t="0" r="0" b="0"/>
            <wp:docPr id="5" name="Picture 5" descr="cid:image041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id:image041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7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          </w:t>
      </w:r>
      <w:proofErr w:type="gramStart"/>
      <w:r>
        <w:t>inverse</w:t>
      </w:r>
      <w:proofErr w:type="gramEnd"/>
      <w:r>
        <w:t xml:space="preserve"> scale parameter of gamma prior for component failure rate </w:t>
      </w:r>
      <w:r>
        <w:rPr>
          <w:rFonts w:ascii="Times New Roman" w:hAnsi="Times New Roman" w:cs="Times New Roman"/>
          <w:noProof/>
          <w:position w:val="-6"/>
          <w:sz w:val="24"/>
          <w:szCs w:val="24"/>
          <w:lang w:eastAsia="zh-CN"/>
        </w:rPr>
        <w:drawing>
          <wp:inline distT="0" distB="0" distL="0" distR="0">
            <wp:extent cx="115570" cy="145415"/>
            <wp:effectExtent l="0" t="0" r="0" b="6985"/>
            <wp:docPr id="4" name="Picture 4" descr="cid:image034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id:image034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7531EB" w:rsidRDefault="007531EB" w:rsidP="007531EB">
      <w:pPr>
        <w:spacing w:line="360" w:lineRule="auto"/>
        <w:ind w:left="360" w:hanging="360"/>
      </w:pPr>
      <w:proofErr w:type="gramStart"/>
      <w:r>
        <w:rPr>
          <w:i/>
          <w:iCs/>
        </w:rPr>
        <w:t>d</w:t>
      </w:r>
      <w:proofErr w:type="gramEnd"/>
      <w:r>
        <w:t xml:space="preserve">                shape parameter of Gamma prior for component recovery rate 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120650" cy="130810"/>
            <wp:effectExtent l="0" t="0" r="0" b="2540"/>
            <wp:docPr id="3" name="Picture 3" descr="cid:image042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id:image042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1EB" w:rsidRDefault="007531EB" w:rsidP="007531EB">
      <w:pPr>
        <w:spacing w:line="360" w:lineRule="auto"/>
        <w:ind w:left="360" w:hanging="360"/>
      </w:pP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115570" cy="145415"/>
            <wp:effectExtent l="0" t="0" r="0" b="6985"/>
            <wp:docPr id="2" name="Picture 2" descr="cid:image043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id:image043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         </w:t>
      </w:r>
      <w:proofErr w:type="gramStart"/>
      <w:r>
        <w:t>inverse</w:t>
      </w:r>
      <w:proofErr w:type="gramEnd"/>
      <w:r>
        <w:t xml:space="preserve"> scale parameter of gamma prior for component recovery rate </w:t>
      </w:r>
      <w:r>
        <w:rPr>
          <w:rFonts w:ascii="Times New Roman" w:hAnsi="Times New Roman" w:cs="Times New Roman"/>
          <w:noProof/>
          <w:position w:val="-10"/>
          <w:sz w:val="24"/>
          <w:szCs w:val="24"/>
          <w:lang w:eastAsia="zh-CN"/>
        </w:rPr>
        <w:drawing>
          <wp:inline distT="0" distB="0" distL="0" distR="0">
            <wp:extent cx="120650" cy="130810"/>
            <wp:effectExtent l="0" t="0" r="0" b="2540"/>
            <wp:docPr id="1" name="Picture 1" descr="cid:image042.png@01D33095.2CA6B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id:image042.png@01D33095.2CA6B6E0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FA" w:rsidRDefault="001B4AFA"/>
    <w:sectPr w:rsidR="001B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802"/>
    <w:rsid w:val="001B4AFA"/>
    <w:rsid w:val="007430E4"/>
    <w:rsid w:val="007531EB"/>
    <w:rsid w:val="00F8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1EB"/>
    <w:pPr>
      <w:spacing w:after="0" w:line="240" w:lineRule="auto"/>
    </w:pPr>
    <w:rPr>
      <w:rFonts w:ascii="Calibri" w:eastAsia="MS PGothic" w:hAnsi="Calibri" w:cs="MS PGothic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3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1EB"/>
    <w:rPr>
      <w:rFonts w:ascii="Tahoma" w:eastAsia="MS PGothic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1EB"/>
    <w:pPr>
      <w:spacing w:after="0" w:line="240" w:lineRule="auto"/>
    </w:pPr>
    <w:rPr>
      <w:rFonts w:ascii="Calibri" w:eastAsia="MS PGothic" w:hAnsi="Calibri" w:cs="MS PGothic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3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1EB"/>
    <w:rPr>
      <w:rFonts w:ascii="Tahoma" w:eastAsia="MS PGothic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32.png@01D33095.2CA6B6E0" TargetMode="External"/><Relationship Id="rId13" Type="http://schemas.openxmlformats.org/officeDocument/2006/relationships/image" Target="media/image5.png"/><Relationship Id="rId18" Type="http://schemas.openxmlformats.org/officeDocument/2006/relationships/image" Target="cid:image037.png@01D33095.2CA6B6E0" TargetMode="External"/><Relationship Id="rId26" Type="http://schemas.openxmlformats.org/officeDocument/2006/relationships/image" Target="cid:image041.png@01D33095.2CA6B6E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image" Target="cid:image034.png@01D33095.2CA6B6E0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cid:image036.png@01D33095.2CA6B6E0" TargetMode="External"/><Relationship Id="rId20" Type="http://schemas.openxmlformats.org/officeDocument/2006/relationships/image" Target="cid:image038.png@01D33095.2CA6B6E0" TargetMode="External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cid:image031.png@01D33095.2CA6B6E0" TargetMode="External"/><Relationship Id="rId11" Type="http://schemas.openxmlformats.org/officeDocument/2006/relationships/image" Target="media/image4.png"/><Relationship Id="rId24" Type="http://schemas.openxmlformats.org/officeDocument/2006/relationships/image" Target="cid:image040.png@01D33095.2CA6B6E0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cid:image042.png@01D33095.2CA6B6E0" TargetMode="External"/><Relationship Id="rId10" Type="http://schemas.openxmlformats.org/officeDocument/2006/relationships/image" Target="cid:image033.png@01D33095.2CA6B6E0" TargetMode="Externa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cid:image035.png@01D33095.2CA6B6E0" TargetMode="External"/><Relationship Id="rId22" Type="http://schemas.openxmlformats.org/officeDocument/2006/relationships/image" Target="cid:image039.png@01D33095.2CA6B6E0" TargetMode="External"/><Relationship Id="rId27" Type="http://schemas.openxmlformats.org/officeDocument/2006/relationships/image" Target="media/image12.png"/><Relationship Id="rId30" Type="http://schemas.openxmlformats.org/officeDocument/2006/relationships/image" Target="cid:image043.png@01D33095.2CA6B6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Yi Wang</cp:lastModifiedBy>
  <cp:revision>3</cp:revision>
  <dcterms:created xsi:type="dcterms:W3CDTF">2017-09-21T20:37:00Z</dcterms:created>
  <dcterms:modified xsi:type="dcterms:W3CDTF">2017-09-25T12:53:00Z</dcterms:modified>
</cp:coreProperties>
</file>